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C8E" w:rsidRPr="0015655E" w:rsidRDefault="00834C8E" w:rsidP="00834C8E">
      <w:pPr>
        <w:jc w:val="right"/>
        <w:rPr>
          <w:rFonts w:ascii="Times New Roman" w:hAnsi="Times New Roman" w:cs="Times New Roman"/>
          <w:b/>
          <w:bCs/>
          <w:sz w:val="20"/>
          <w:szCs w:val="20"/>
        </w:rPr>
      </w:pPr>
      <w:r w:rsidRPr="0015655E">
        <w:rPr>
          <w:rFonts w:ascii="Times New Roman" w:hAnsi="Times New Roman" w:cs="Times New Roman"/>
          <w:b/>
          <w:bCs/>
          <w:sz w:val="20"/>
          <w:szCs w:val="20"/>
        </w:rPr>
        <w:t xml:space="preserve">Приложение № 14   </w:t>
      </w:r>
    </w:p>
    <w:p w:rsidR="00834C8E" w:rsidRPr="0015655E" w:rsidRDefault="00834C8E" w:rsidP="00834C8E">
      <w:pPr>
        <w:tabs>
          <w:tab w:val="left" w:pos="540"/>
        </w:tabs>
        <w:ind w:left="426"/>
        <w:jc w:val="right"/>
        <w:rPr>
          <w:rFonts w:ascii="Times New Roman" w:hAnsi="Times New Roman" w:cs="Times New Roman"/>
          <w:b/>
          <w:sz w:val="20"/>
          <w:szCs w:val="20"/>
        </w:rPr>
      </w:pPr>
      <w:r w:rsidRPr="0015655E">
        <w:rPr>
          <w:rFonts w:ascii="Times New Roman" w:hAnsi="Times New Roman" w:cs="Times New Roman"/>
          <w:b/>
          <w:sz w:val="20"/>
          <w:szCs w:val="20"/>
        </w:rPr>
        <w:t xml:space="preserve">к Инструкции об этапах, </w:t>
      </w:r>
    </w:p>
    <w:p w:rsidR="00834C8E" w:rsidRPr="0015655E" w:rsidRDefault="00834C8E" w:rsidP="00834C8E">
      <w:pPr>
        <w:tabs>
          <w:tab w:val="left" w:pos="540"/>
        </w:tabs>
        <w:ind w:left="426"/>
        <w:jc w:val="right"/>
        <w:rPr>
          <w:rFonts w:ascii="Times New Roman" w:hAnsi="Times New Roman" w:cs="Times New Roman"/>
          <w:b/>
          <w:sz w:val="20"/>
          <w:szCs w:val="20"/>
        </w:rPr>
      </w:pPr>
      <w:proofErr w:type="gramStart"/>
      <w:r w:rsidRPr="0015655E">
        <w:rPr>
          <w:rFonts w:ascii="Times New Roman" w:hAnsi="Times New Roman" w:cs="Times New Roman"/>
          <w:b/>
          <w:sz w:val="20"/>
          <w:szCs w:val="20"/>
        </w:rPr>
        <w:t>сроках</w:t>
      </w:r>
      <w:proofErr w:type="gramEnd"/>
      <w:r w:rsidRPr="0015655E">
        <w:rPr>
          <w:rFonts w:ascii="Times New Roman" w:hAnsi="Times New Roman" w:cs="Times New Roman"/>
          <w:b/>
          <w:sz w:val="20"/>
          <w:szCs w:val="20"/>
        </w:rPr>
        <w:t xml:space="preserve">, порядке и процедурах </w:t>
      </w:r>
    </w:p>
    <w:p w:rsidR="00834C8E" w:rsidRPr="0015655E" w:rsidRDefault="00834C8E" w:rsidP="00834C8E">
      <w:pPr>
        <w:pStyle w:val="NoSpacing"/>
        <w:jc w:val="right"/>
        <w:rPr>
          <w:rFonts w:ascii="Times New Roman" w:hAnsi="Times New Roman"/>
          <w:b/>
          <w:bCs/>
        </w:rPr>
      </w:pPr>
      <w:r w:rsidRPr="0015655E">
        <w:rPr>
          <w:rFonts w:ascii="Times New Roman" w:hAnsi="Times New Roman"/>
          <w:b/>
          <w:sz w:val="20"/>
          <w:szCs w:val="20"/>
        </w:rPr>
        <w:t>регистрации ценных бумаг</w:t>
      </w:r>
    </w:p>
    <w:p w:rsidR="00834C8E" w:rsidRPr="0015655E" w:rsidRDefault="00834C8E" w:rsidP="00834C8E">
      <w:pPr>
        <w:pStyle w:val="NoSpacing"/>
        <w:jc w:val="right"/>
        <w:rPr>
          <w:rFonts w:ascii="Times New Roman" w:hAnsi="Times New Roman"/>
          <w:b/>
          <w:bCs/>
          <w:sz w:val="24"/>
          <w:szCs w:val="24"/>
        </w:rPr>
      </w:pPr>
    </w:p>
    <w:p w:rsidR="00834C8E" w:rsidRPr="0015655E" w:rsidRDefault="00834C8E" w:rsidP="00834C8E">
      <w:pPr>
        <w:pStyle w:val="NoSpacing"/>
        <w:jc w:val="both"/>
        <w:rPr>
          <w:rFonts w:ascii="Times New Roman" w:hAnsi="Times New Roman"/>
          <w:b/>
          <w:bCs/>
        </w:rPr>
      </w:pPr>
    </w:p>
    <w:p w:rsidR="00834C8E" w:rsidRPr="0015655E" w:rsidRDefault="00834C8E" w:rsidP="00834C8E">
      <w:pPr>
        <w:pStyle w:val="NoSpacing"/>
        <w:rPr>
          <w:rFonts w:ascii="Times New Roman" w:hAnsi="Times New Roman"/>
          <w:b/>
          <w:bCs/>
        </w:rPr>
      </w:pPr>
    </w:p>
    <w:p w:rsidR="00834C8E" w:rsidRPr="0015655E" w:rsidRDefault="00834C8E" w:rsidP="00834C8E">
      <w:pPr>
        <w:pStyle w:val="NoSpacing"/>
        <w:jc w:val="center"/>
        <w:rPr>
          <w:rFonts w:ascii="Times New Roman" w:hAnsi="Times New Roman"/>
          <w:b/>
          <w:bCs/>
          <w:sz w:val="28"/>
          <w:szCs w:val="28"/>
        </w:rPr>
      </w:pPr>
      <w:r w:rsidRPr="0015655E">
        <w:rPr>
          <w:rFonts w:ascii="Times New Roman" w:hAnsi="Times New Roman"/>
          <w:b/>
          <w:sz w:val="28"/>
          <w:szCs w:val="28"/>
        </w:rPr>
        <w:t xml:space="preserve">Минимальная информация о гарантиях, которую необходимо представить </w:t>
      </w:r>
    </w:p>
    <w:p w:rsidR="00834C8E" w:rsidRPr="0015655E" w:rsidRDefault="00834C8E" w:rsidP="00834C8E">
      <w:pPr>
        <w:pStyle w:val="NoSpacing"/>
        <w:jc w:val="both"/>
        <w:rPr>
          <w:rFonts w:ascii="Times New Roman" w:hAnsi="Times New Roman"/>
          <w:b/>
          <w:bCs/>
          <w:sz w:val="28"/>
          <w:szCs w:val="28"/>
        </w:rPr>
      </w:pPr>
    </w:p>
    <w:tbl>
      <w:tblPr>
        <w:tblStyle w:val="TableGrid"/>
        <w:tblW w:w="0" w:type="auto"/>
        <w:tblLook w:val="04A0" w:firstRow="1" w:lastRow="0" w:firstColumn="1" w:lastColumn="0" w:noHBand="0" w:noVBand="1"/>
      </w:tblPr>
      <w:tblGrid>
        <w:gridCol w:w="808"/>
        <w:gridCol w:w="8434"/>
      </w:tblGrid>
      <w:tr w:rsidR="00834C8E" w:rsidRPr="0015655E" w:rsidTr="00B24149">
        <w:tc>
          <w:tcPr>
            <w:tcW w:w="817" w:type="dxa"/>
          </w:tcPr>
          <w:p w:rsidR="00834C8E" w:rsidRPr="0015655E" w:rsidRDefault="00834C8E" w:rsidP="00B24149">
            <w:pPr>
              <w:pStyle w:val="NoSpacing"/>
              <w:widowControl w:val="0"/>
              <w:autoSpaceDE w:val="0"/>
              <w:autoSpaceDN w:val="0"/>
              <w:adjustRightInd w:val="0"/>
              <w:ind w:right="130"/>
              <w:rPr>
                <w:rFonts w:ascii="Times New Roman" w:hAnsi="Times New Roman"/>
                <w:b/>
                <w:bCs/>
                <w:sz w:val="28"/>
                <w:szCs w:val="28"/>
              </w:rPr>
            </w:pPr>
            <w:r w:rsidRPr="0015655E">
              <w:rPr>
                <w:rFonts w:ascii="Times New Roman" w:hAnsi="Times New Roman"/>
                <w:b/>
                <w:bCs/>
                <w:sz w:val="28"/>
                <w:szCs w:val="28"/>
              </w:rPr>
              <w:t>1.</w:t>
            </w:r>
          </w:p>
        </w:tc>
        <w:tc>
          <w:tcPr>
            <w:tcW w:w="8613" w:type="dxa"/>
          </w:tcPr>
          <w:p w:rsidR="00834C8E" w:rsidRPr="0015655E" w:rsidRDefault="00834C8E" w:rsidP="00B24149">
            <w:pPr>
              <w:pStyle w:val="NoSpacing"/>
              <w:widowControl w:val="0"/>
              <w:autoSpaceDE w:val="0"/>
              <w:autoSpaceDN w:val="0"/>
              <w:adjustRightInd w:val="0"/>
              <w:ind w:right="130"/>
              <w:rPr>
                <w:rFonts w:ascii="Times New Roman" w:hAnsi="Times New Roman"/>
                <w:b/>
                <w:bCs/>
                <w:sz w:val="28"/>
                <w:szCs w:val="28"/>
              </w:rPr>
            </w:pPr>
            <w:r w:rsidRPr="0015655E">
              <w:rPr>
                <w:rFonts w:ascii="Times New Roman" w:hAnsi="Times New Roman"/>
                <w:b/>
                <w:bCs/>
                <w:sz w:val="28"/>
                <w:szCs w:val="28"/>
              </w:rPr>
              <w:t>ХАРАКТЕР ГАРАНТИИ</w:t>
            </w:r>
          </w:p>
          <w:p w:rsidR="00834C8E" w:rsidRPr="0015655E" w:rsidRDefault="00834C8E" w:rsidP="00B24149">
            <w:pPr>
              <w:pStyle w:val="NoSpacing"/>
              <w:widowControl w:val="0"/>
              <w:autoSpaceDE w:val="0"/>
              <w:autoSpaceDN w:val="0"/>
              <w:adjustRightInd w:val="0"/>
              <w:ind w:right="130"/>
              <w:jc w:val="both"/>
              <w:rPr>
                <w:rFonts w:ascii="Times New Roman" w:hAnsi="Times New Roman"/>
                <w:sz w:val="28"/>
                <w:szCs w:val="28"/>
              </w:rPr>
            </w:pPr>
            <w:r w:rsidRPr="0015655E">
              <w:rPr>
                <w:rFonts w:ascii="Times New Roman" w:hAnsi="Times New Roman"/>
                <w:sz w:val="28"/>
                <w:szCs w:val="28"/>
              </w:rPr>
              <w:t>Описание любого вида соглашений, направленных на обеспечение выполнения любых обязательств, имеющих важное влияние на эмиссию, независимо какую форму принимают данные соглашения (гарантии, страховые полисы или другое равноценное соглашение), названные далее „гарантиями”, поставщик которых именуется „гарантом”.</w:t>
            </w:r>
          </w:p>
          <w:p w:rsidR="00834C8E" w:rsidRPr="0015655E" w:rsidRDefault="00834C8E" w:rsidP="00B24149">
            <w:pPr>
              <w:pStyle w:val="NoSpacing"/>
              <w:jc w:val="both"/>
              <w:rPr>
                <w:rFonts w:ascii="Times New Roman" w:hAnsi="Times New Roman"/>
                <w:b/>
                <w:bCs/>
                <w:sz w:val="28"/>
                <w:szCs w:val="28"/>
              </w:rPr>
            </w:pPr>
            <w:r w:rsidRPr="0015655E">
              <w:rPr>
                <w:rFonts w:ascii="Times New Roman" w:hAnsi="Times New Roman"/>
                <w:sz w:val="28"/>
                <w:szCs w:val="28"/>
              </w:rPr>
              <w:t xml:space="preserve">Указанные соглашения включают любое соглашение, направленное на обеспечение выполнения дебитором своего обязательства по возмещению заемного документа и оплате процентов. Описание должно </w:t>
            </w:r>
            <w:proofErr w:type="gramStart"/>
            <w:r w:rsidRPr="0015655E">
              <w:rPr>
                <w:rFonts w:ascii="Times New Roman" w:hAnsi="Times New Roman"/>
                <w:sz w:val="28"/>
                <w:szCs w:val="28"/>
              </w:rPr>
              <w:t>указывать</w:t>
            </w:r>
            <w:proofErr w:type="gramEnd"/>
            <w:r w:rsidRPr="0015655E">
              <w:rPr>
                <w:rFonts w:ascii="Times New Roman" w:hAnsi="Times New Roman"/>
                <w:sz w:val="28"/>
                <w:szCs w:val="28"/>
              </w:rPr>
              <w:t xml:space="preserve"> как данные соглашения обеспечат фактическое погашение гарантированных выплат.</w:t>
            </w:r>
          </w:p>
        </w:tc>
      </w:tr>
      <w:tr w:rsidR="00834C8E" w:rsidRPr="0015655E" w:rsidTr="00B24149">
        <w:tc>
          <w:tcPr>
            <w:tcW w:w="817" w:type="dxa"/>
          </w:tcPr>
          <w:p w:rsidR="00834C8E" w:rsidRPr="0015655E" w:rsidRDefault="00834C8E" w:rsidP="00B24149">
            <w:pPr>
              <w:pStyle w:val="NoSpacing"/>
              <w:widowControl w:val="0"/>
              <w:autoSpaceDE w:val="0"/>
              <w:autoSpaceDN w:val="0"/>
              <w:adjustRightInd w:val="0"/>
              <w:ind w:right="130"/>
              <w:rPr>
                <w:rFonts w:ascii="Times New Roman" w:hAnsi="Times New Roman"/>
                <w:b/>
                <w:bCs/>
                <w:sz w:val="28"/>
                <w:szCs w:val="28"/>
              </w:rPr>
            </w:pPr>
            <w:r w:rsidRPr="0015655E">
              <w:rPr>
                <w:rFonts w:ascii="Times New Roman" w:hAnsi="Times New Roman"/>
                <w:b/>
                <w:bCs/>
                <w:sz w:val="28"/>
                <w:szCs w:val="28"/>
              </w:rPr>
              <w:t>2.</w:t>
            </w:r>
          </w:p>
        </w:tc>
        <w:tc>
          <w:tcPr>
            <w:tcW w:w="8613" w:type="dxa"/>
          </w:tcPr>
          <w:p w:rsidR="00834C8E" w:rsidRPr="0015655E" w:rsidRDefault="00834C8E" w:rsidP="00B24149">
            <w:pPr>
              <w:pStyle w:val="NoSpacing"/>
              <w:widowControl w:val="0"/>
              <w:autoSpaceDE w:val="0"/>
              <w:autoSpaceDN w:val="0"/>
              <w:adjustRightInd w:val="0"/>
              <w:ind w:right="130"/>
              <w:rPr>
                <w:rFonts w:ascii="Times New Roman" w:hAnsi="Times New Roman"/>
                <w:sz w:val="28"/>
                <w:szCs w:val="28"/>
              </w:rPr>
            </w:pPr>
            <w:r w:rsidRPr="0015655E">
              <w:rPr>
                <w:rFonts w:ascii="Times New Roman" w:hAnsi="Times New Roman"/>
                <w:b/>
                <w:bCs/>
                <w:sz w:val="28"/>
                <w:szCs w:val="28"/>
              </w:rPr>
              <w:t>ПРЕДМЕТ ГАРАНТИИ</w:t>
            </w:r>
          </w:p>
          <w:p w:rsidR="00834C8E" w:rsidRPr="0015655E" w:rsidRDefault="00834C8E" w:rsidP="00B24149">
            <w:pPr>
              <w:pStyle w:val="NoSpacing"/>
              <w:jc w:val="both"/>
              <w:rPr>
                <w:rFonts w:ascii="Times New Roman" w:hAnsi="Times New Roman"/>
                <w:b/>
                <w:bCs/>
                <w:sz w:val="28"/>
                <w:szCs w:val="28"/>
              </w:rPr>
            </w:pPr>
            <w:r w:rsidRPr="0015655E">
              <w:rPr>
                <w:rFonts w:ascii="Times New Roman" w:hAnsi="Times New Roman"/>
                <w:sz w:val="28"/>
                <w:szCs w:val="28"/>
              </w:rPr>
              <w:t>Подробные указания об условиях и предмете гарантии. Не нанося ущерба общему характеру предыдущих положений, данные указания должны содержать условия применения гарантии в случае нарушения любого из условий, предусмотренных договором гарантии, или релевантных условий страхового полиса, заключенного между эмитентом и гарантом. Также, необходимо предоставить подробности о возможном праве вето гаранта на любое изменение прав владельца ценных бумаг, которое постоянно предусматривается в некоторых страховых договорах.</w:t>
            </w:r>
          </w:p>
        </w:tc>
      </w:tr>
      <w:tr w:rsidR="00834C8E" w:rsidRPr="0015655E" w:rsidTr="00B24149">
        <w:tc>
          <w:tcPr>
            <w:tcW w:w="817" w:type="dxa"/>
          </w:tcPr>
          <w:p w:rsidR="00834C8E" w:rsidRPr="0015655E" w:rsidRDefault="00834C8E" w:rsidP="00B24149">
            <w:pPr>
              <w:pStyle w:val="NoSpacing"/>
              <w:widowControl w:val="0"/>
              <w:autoSpaceDE w:val="0"/>
              <w:autoSpaceDN w:val="0"/>
              <w:adjustRightInd w:val="0"/>
              <w:ind w:right="130"/>
              <w:rPr>
                <w:rFonts w:ascii="Times New Roman" w:hAnsi="Times New Roman"/>
                <w:b/>
                <w:bCs/>
                <w:sz w:val="28"/>
                <w:szCs w:val="28"/>
              </w:rPr>
            </w:pPr>
            <w:r w:rsidRPr="0015655E">
              <w:rPr>
                <w:rFonts w:ascii="Times New Roman" w:hAnsi="Times New Roman"/>
                <w:b/>
                <w:bCs/>
                <w:sz w:val="28"/>
                <w:szCs w:val="28"/>
              </w:rPr>
              <w:t>3.</w:t>
            </w:r>
          </w:p>
        </w:tc>
        <w:tc>
          <w:tcPr>
            <w:tcW w:w="8613" w:type="dxa"/>
          </w:tcPr>
          <w:p w:rsidR="00834C8E" w:rsidRPr="0015655E" w:rsidRDefault="00834C8E" w:rsidP="00B24149">
            <w:pPr>
              <w:pStyle w:val="NoSpacing"/>
              <w:widowControl w:val="0"/>
              <w:autoSpaceDE w:val="0"/>
              <w:autoSpaceDN w:val="0"/>
              <w:adjustRightInd w:val="0"/>
              <w:ind w:right="130"/>
              <w:rPr>
                <w:rFonts w:ascii="Times New Roman" w:hAnsi="Times New Roman"/>
                <w:sz w:val="28"/>
                <w:szCs w:val="28"/>
              </w:rPr>
            </w:pPr>
            <w:r w:rsidRPr="0015655E">
              <w:rPr>
                <w:rFonts w:ascii="Times New Roman" w:hAnsi="Times New Roman"/>
                <w:b/>
                <w:bCs/>
                <w:sz w:val="28"/>
                <w:szCs w:val="28"/>
              </w:rPr>
              <w:t xml:space="preserve">ИНФОРМАЦИЯ О ГАРАНТЕ, КОТОРУЮ НЕОБХОДИМО ПРЕДОСТАВИТЬ </w:t>
            </w:r>
          </w:p>
          <w:p w:rsidR="00834C8E" w:rsidRPr="0015655E" w:rsidRDefault="00834C8E" w:rsidP="00B24149">
            <w:pPr>
              <w:pStyle w:val="NoSpacing"/>
              <w:widowControl w:val="0"/>
              <w:autoSpaceDE w:val="0"/>
              <w:autoSpaceDN w:val="0"/>
              <w:adjustRightInd w:val="0"/>
              <w:ind w:right="130"/>
              <w:jc w:val="both"/>
              <w:rPr>
                <w:rFonts w:ascii="Times New Roman" w:hAnsi="Times New Roman"/>
                <w:sz w:val="28"/>
                <w:szCs w:val="28"/>
              </w:rPr>
            </w:pPr>
            <w:r w:rsidRPr="0015655E">
              <w:rPr>
                <w:rFonts w:ascii="Times New Roman" w:hAnsi="Times New Roman"/>
                <w:sz w:val="28"/>
                <w:szCs w:val="28"/>
              </w:rPr>
              <w:t>Гарант должен раскрыть ту же информацию о себе, которую должен раскрыть эмитент ценных бумаг, являющихся предметом гарантии.</w:t>
            </w:r>
          </w:p>
        </w:tc>
      </w:tr>
      <w:tr w:rsidR="00834C8E" w:rsidRPr="0015655E" w:rsidTr="00B24149">
        <w:tc>
          <w:tcPr>
            <w:tcW w:w="817" w:type="dxa"/>
          </w:tcPr>
          <w:p w:rsidR="00834C8E" w:rsidRPr="0015655E" w:rsidRDefault="00834C8E" w:rsidP="00B24149">
            <w:pPr>
              <w:pStyle w:val="NoSpacing"/>
              <w:widowControl w:val="0"/>
              <w:autoSpaceDE w:val="0"/>
              <w:autoSpaceDN w:val="0"/>
              <w:adjustRightInd w:val="0"/>
              <w:ind w:right="130"/>
              <w:rPr>
                <w:rFonts w:ascii="Times New Roman" w:hAnsi="Times New Roman"/>
                <w:b/>
                <w:bCs/>
                <w:sz w:val="28"/>
                <w:szCs w:val="28"/>
              </w:rPr>
            </w:pPr>
            <w:r w:rsidRPr="0015655E">
              <w:rPr>
                <w:rFonts w:ascii="Times New Roman" w:hAnsi="Times New Roman"/>
                <w:b/>
                <w:bCs/>
                <w:sz w:val="28"/>
                <w:szCs w:val="28"/>
              </w:rPr>
              <w:t>4.</w:t>
            </w:r>
          </w:p>
        </w:tc>
        <w:tc>
          <w:tcPr>
            <w:tcW w:w="8613" w:type="dxa"/>
          </w:tcPr>
          <w:p w:rsidR="00834C8E" w:rsidRPr="0015655E" w:rsidRDefault="00834C8E" w:rsidP="00B24149">
            <w:pPr>
              <w:pStyle w:val="NoSpacing"/>
              <w:widowControl w:val="0"/>
              <w:autoSpaceDE w:val="0"/>
              <w:autoSpaceDN w:val="0"/>
              <w:adjustRightInd w:val="0"/>
              <w:ind w:right="130"/>
              <w:rPr>
                <w:rFonts w:ascii="Times New Roman" w:hAnsi="Times New Roman"/>
                <w:sz w:val="28"/>
                <w:szCs w:val="28"/>
              </w:rPr>
            </w:pPr>
            <w:r w:rsidRPr="0015655E">
              <w:rPr>
                <w:rFonts w:ascii="Times New Roman" w:hAnsi="Times New Roman"/>
                <w:b/>
                <w:bCs/>
                <w:sz w:val="28"/>
                <w:szCs w:val="28"/>
              </w:rPr>
              <w:t xml:space="preserve">ДОКУМЕНТЫ ДОСТУПНЫЕ ОБЩЕСТВЕННОСТИ </w:t>
            </w:r>
          </w:p>
          <w:p w:rsidR="00834C8E" w:rsidRPr="0015655E" w:rsidRDefault="00834C8E" w:rsidP="00B24149">
            <w:pPr>
              <w:pStyle w:val="NoSpacing"/>
              <w:jc w:val="both"/>
              <w:rPr>
                <w:rFonts w:ascii="Times New Roman" w:hAnsi="Times New Roman"/>
                <w:b/>
                <w:bCs/>
                <w:sz w:val="28"/>
                <w:szCs w:val="28"/>
              </w:rPr>
            </w:pPr>
            <w:r w:rsidRPr="0015655E">
              <w:rPr>
                <w:rFonts w:ascii="Times New Roman" w:hAnsi="Times New Roman"/>
                <w:sz w:val="28"/>
                <w:szCs w:val="28"/>
              </w:rPr>
              <w:t>Указать места, где общественность имеет доступ к значительным договорам и к другим документам о гарантии.</w:t>
            </w:r>
          </w:p>
        </w:tc>
      </w:tr>
    </w:tbl>
    <w:p w:rsidR="00834C8E" w:rsidRPr="0015655E" w:rsidRDefault="00834C8E" w:rsidP="00834C8E">
      <w:pPr>
        <w:pStyle w:val="NoSpacing"/>
        <w:rPr>
          <w:rFonts w:ascii="Times New Roman" w:hAnsi="Times New Roman"/>
          <w:b/>
          <w:bCs/>
        </w:rPr>
      </w:pPr>
    </w:p>
    <w:p w:rsidR="00834C8E" w:rsidRDefault="00834C8E">
      <w:bookmarkStart w:id="0" w:name="_GoBack"/>
      <w:bookmarkEnd w:id="0"/>
    </w:p>
    <w:sectPr w:rsidR="00834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8E"/>
    <w:rsid w:val="0083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8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4C8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34C8E"/>
    <w:rPr>
      <w:rFonts w:ascii="Calibri" w:eastAsia="Times New Roman" w:hAnsi="Calibri" w:cs="Times New Roman"/>
      <w:lang w:val="ru-RU" w:eastAsia="ru-RU"/>
    </w:rPr>
  </w:style>
  <w:style w:type="table" w:styleId="TableGrid">
    <w:name w:val="Table Grid"/>
    <w:basedOn w:val="TableNormal"/>
    <w:uiPriority w:val="59"/>
    <w:rsid w:val="00834C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C8E"/>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4C8E"/>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834C8E"/>
    <w:rPr>
      <w:rFonts w:ascii="Calibri" w:eastAsia="Times New Roman" w:hAnsi="Calibri" w:cs="Times New Roman"/>
      <w:lang w:val="ru-RU" w:eastAsia="ru-RU"/>
    </w:rPr>
  </w:style>
  <w:style w:type="table" w:styleId="TableGrid">
    <w:name w:val="Table Grid"/>
    <w:basedOn w:val="TableNormal"/>
    <w:uiPriority w:val="59"/>
    <w:rsid w:val="00834C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Munteanu MA. Ana</dc:creator>
  <cp:lastModifiedBy>Munteanu MA. Ana</cp:lastModifiedBy>
  <cp:revision>1</cp:revision>
  <dcterms:created xsi:type="dcterms:W3CDTF">2018-05-29T06:29:00Z</dcterms:created>
  <dcterms:modified xsi:type="dcterms:W3CDTF">2018-05-29T06:29:00Z</dcterms:modified>
</cp:coreProperties>
</file>